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2B" w:rsidRDefault="0028422B" w:rsidP="00E0226B">
      <w:pPr>
        <w:rPr>
          <w:lang w:val="en-US"/>
        </w:rPr>
      </w:pPr>
    </w:p>
    <w:p w:rsidR="005C76A1" w:rsidRPr="00D63CB9" w:rsidRDefault="005C76A1" w:rsidP="005C76A1">
      <w:pPr>
        <w:spacing w:after="0" w:line="240" w:lineRule="auto"/>
        <w:ind w:left="-142" w:right="-199"/>
        <w:contextualSpacing/>
        <w:jc w:val="center"/>
        <w:rPr>
          <w:rFonts w:asciiTheme="majorHAnsi" w:eastAsiaTheme="majorEastAsia" w:hAnsiTheme="majorHAnsi" w:cstheme="majorBidi"/>
          <w:b/>
          <w:color w:val="4472C4" w:themeColor="accent1"/>
          <w:kern w:val="28"/>
          <w:sz w:val="56"/>
          <w:szCs w:val="56"/>
        </w:rPr>
      </w:pPr>
      <w:r w:rsidRPr="00D63CB9">
        <w:rPr>
          <w:rFonts w:asciiTheme="majorHAnsi" w:eastAsiaTheme="majorEastAsia" w:hAnsiTheme="majorHAnsi" w:cstheme="majorBidi"/>
          <w:b/>
          <w:color w:val="4472C4" w:themeColor="accent1"/>
          <w:kern w:val="28"/>
          <w:sz w:val="56"/>
          <w:szCs w:val="56"/>
        </w:rPr>
        <w:t>Τουρισμός Υγείας</w:t>
      </w:r>
    </w:p>
    <w:p w:rsidR="005C76A1" w:rsidRPr="00D63CB9" w:rsidRDefault="005C76A1" w:rsidP="005C76A1">
      <w:pPr>
        <w:keepNext/>
        <w:keepLines/>
        <w:spacing w:before="240" w:after="240"/>
        <w:ind w:left="-142" w:right="-199"/>
        <w:outlineLvl w:val="0"/>
        <w:rPr>
          <w:rFonts w:asciiTheme="majorHAnsi" w:eastAsiaTheme="majorEastAsia" w:hAnsiTheme="majorHAnsi" w:cstheme="majorBidi"/>
          <w:b/>
          <w:color w:val="2F5496" w:themeColor="accent1" w:themeShade="BF"/>
          <w:sz w:val="32"/>
          <w:szCs w:val="32"/>
        </w:rPr>
      </w:pPr>
      <w:r w:rsidRPr="00D63CB9">
        <w:rPr>
          <w:rFonts w:asciiTheme="majorHAnsi" w:eastAsiaTheme="majorEastAsia" w:hAnsiTheme="majorHAnsi" w:cstheme="majorBidi"/>
          <w:b/>
          <w:color w:val="2F5496" w:themeColor="accent1" w:themeShade="BF"/>
          <w:sz w:val="32"/>
          <w:szCs w:val="32"/>
        </w:rPr>
        <w:t>Δεδομένα:</w:t>
      </w:r>
    </w:p>
    <w:p w:rsidR="005C76A1" w:rsidRPr="00D63CB9" w:rsidRDefault="005C76A1" w:rsidP="005C76A1">
      <w:pPr>
        <w:numPr>
          <w:ilvl w:val="0"/>
          <w:numId w:val="4"/>
        </w:numPr>
        <w:ind w:left="-142" w:right="-199"/>
        <w:contextualSpacing/>
        <w:jc w:val="both"/>
        <w:rPr>
          <w:sz w:val="24"/>
          <w:szCs w:val="24"/>
          <w:u w:val="single"/>
        </w:rPr>
      </w:pPr>
      <w:r w:rsidRPr="00D63CB9">
        <w:rPr>
          <w:sz w:val="24"/>
          <w:szCs w:val="24"/>
        </w:rPr>
        <w:t>Πάροχοι από 100+ χώρες δραστηριοποιούνται σε όλο τον κόσμο. Πολλές χώρες έχουν ιδρύσει εθνικούς φορείς προώθησης του τουρισμού υγείας  ενώ λειτουργούν και πολλά συνεργατικά σχήματα (clusters).</w:t>
      </w:r>
    </w:p>
    <w:p w:rsidR="005C76A1" w:rsidRPr="00D63CB9" w:rsidRDefault="005C76A1" w:rsidP="005C76A1">
      <w:pPr>
        <w:numPr>
          <w:ilvl w:val="0"/>
          <w:numId w:val="4"/>
        </w:numPr>
        <w:ind w:left="-142" w:right="-199"/>
        <w:contextualSpacing/>
        <w:jc w:val="both"/>
        <w:rPr>
          <w:sz w:val="24"/>
          <w:szCs w:val="24"/>
        </w:rPr>
      </w:pPr>
      <w:r w:rsidRPr="00D63CB9">
        <w:rPr>
          <w:sz w:val="24"/>
          <w:szCs w:val="24"/>
        </w:rPr>
        <w:t>Μόνο στην ΕΕ, ο τζίρος του τουρισμού υγείας υπολογίζεται  σε περίπου 47 δις ευρώ</w:t>
      </w:r>
    </w:p>
    <w:p w:rsidR="005C76A1" w:rsidRPr="00D63CB9" w:rsidRDefault="005C76A1" w:rsidP="005C76A1">
      <w:pPr>
        <w:keepNext/>
        <w:keepLines/>
        <w:spacing w:before="40" w:after="240"/>
        <w:ind w:left="-142" w:right="-199"/>
        <w:jc w:val="both"/>
        <w:outlineLvl w:val="1"/>
        <w:rPr>
          <w:rFonts w:asciiTheme="majorHAnsi" w:eastAsiaTheme="majorEastAsia" w:hAnsiTheme="majorHAnsi" w:cstheme="majorBidi"/>
          <w:b/>
          <w:color w:val="2F5496" w:themeColor="accent1" w:themeShade="BF"/>
          <w:sz w:val="26"/>
          <w:szCs w:val="26"/>
        </w:rPr>
      </w:pPr>
      <w:r w:rsidRPr="00D63CB9">
        <w:rPr>
          <w:rFonts w:asciiTheme="majorHAnsi" w:eastAsiaTheme="majorEastAsia" w:hAnsiTheme="majorHAnsi" w:cstheme="majorBidi"/>
          <w:b/>
          <w:color w:val="2F5496" w:themeColor="accent1" w:themeShade="BF"/>
          <w:sz w:val="26"/>
          <w:szCs w:val="26"/>
        </w:rPr>
        <w:t xml:space="preserve">Λόγοι αύξησης </w:t>
      </w:r>
    </w:p>
    <w:p w:rsidR="005C76A1" w:rsidRPr="00D63CB9" w:rsidRDefault="005C76A1" w:rsidP="005C76A1">
      <w:pPr>
        <w:numPr>
          <w:ilvl w:val="0"/>
          <w:numId w:val="7"/>
        </w:numPr>
        <w:ind w:left="-142" w:right="-199"/>
        <w:contextualSpacing/>
        <w:jc w:val="both"/>
        <w:rPr>
          <w:sz w:val="24"/>
          <w:szCs w:val="24"/>
        </w:rPr>
      </w:pPr>
      <w:r w:rsidRPr="00D63CB9">
        <w:rPr>
          <w:sz w:val="24"/>
          <w:szCs w:val="24"/>
        </w:rPr>
        <w:t xml:space="preserve">Ενίσχυση εξειδίκευσης , τεχνολογικών και επιστημονικών επιτευγμάτων στον τομέα της Υγείας. </w:t>
      </w:r>
    </w:p>
    <w:p w:rsidR="005C76A1" w:rsidRPr="00D63CB9" w:rsidRDefault="005C76A1" w:rsidP="005C76A1">
      <w:pPr>
        <w:numPr>
          <w:ilvl w:val="0"/>
          <w:numId w:val="7"/>
        </w:numPr>
        <w:ind w:left="-142" w:right="-199"/>
        <w:contextualSpacing/>
        <w:jc w:val="both"/>
        <w:rPr>
          <w:sz w:val="24"/>
          <w:szCs w:val="24"/>
        </w:rPr>
      </w:pPr>
      <w:r w:rsidRPr="00D63CB9">
        <w:rPr>
          <w:sz w:val="24"/>
          <w:szCs w:val="24"/>
        </w:rPr>
        <w:t>Αναζήτηση υψηλού επιπέδου υπηρεσιών στο χαμηλότερο δυνατό κόστος.</w:t>
      </w:r>
    </w:p>
    <w:p w:rsidR="005C76A1" w:rsidRPr="00D63CB9" w:rsidRDefault="005C76A1" w:rsidP="005C76A1">
      <w:pPr>
        <w:numPr>
          <w:ilvl w:val="0"/>
          <w:numId w:val="7"/>
        </w:numPr>
        <w:ind w:left="-142" w:right="-199"/>
        <w:contextualSpacing/>
        <w:jc w:val="both"/>
        <w:rPr>
          <w:sz w:val="24"/>
          <w:szCs w:val="24"/>
        </w:rPr>
      </w:pPr>
      <w:r w:rsidRPr="00D63CB9">
        <w:rPr>
          <w:sz w:val="24"/>
          <w:szCs w:val="24"/>
        </w:rPr>
        <w:t>Συνθήκες διεύρυνσης της διασυνοριακής συνεργασίας για την παροχή υπηρεσιών υγειονομικής κάλυψης στους πληθυσμούς.</w:t>
      </w:r>
    </w:p>
    <w:p w:rsidR="005C76A1" w:rsidRPr="00D63CB9" w:rsidRDefault="005C76A1" w:rsidP="005C76A1">
      <w:pPr>
        <w:numPr>
          <w:ilvl w:val="0"/>
          <w:numId w:val="7"/>
        </w:numPr>
        <w:ind w:left="-142" w:right="-199"/>
        <w:contextualSpacing/>
        <w:jc w:val="both"/>
        <w:rPr>
          <w:sz w:val="24"/>
          <w:szCs w:val="24"/>
        </w:rPr>
      </w:pPr>
      <w:r w:rsidRPr="00D63CB9">
        <w:rPr>
          <w:sz w:val="24"/>
          <w:szCs w:val="24"/>
        </w:rPr>
        <w:t xml:space="preserve">Πρόσβαση σε πληροφορίες μέσω διαδικτύου- Ο ενημερωμένος ασθενής επιθυμεί άμεσα τη βελτίωση της κατάστασης και του επιπέδου διαβίωσης του.  </w:t>
      </w:r>
    </w:p>
    <w:p w:rsidR="005C76A1" w:rsidRPr="00D63CB9" w:rsidRDefault="005C76A1" w:rsidP="005C76A1">
      <w:pPr>
        <w:numPr>
          <w:ilvl w:val="0"/>
          <w:numId w:val="7"/>
        </w:numPr>
        <w:ind w:left="-142" w:right="-199"/>
        <w:contextualSpacing/>
        <w:jc w:val="both"/>
        <w:rPr>
          <w:sz w:val="24"/>
          <w:szCs w:val="24"/>
        </w:rPr>
      </w:pPr>
      <w:r w:rsidRPr="00D63CB9">
        <w:rPr>
          <w:sz w:val="24"/>
          <w:szCs w:val="24"/>
        </w:rPr>
        <w:t xml:space="preserve">Γήρανση του πληθυσμού στις ανεπτυγμένες χώρες:  η μεγάλη πρόοδος στο χώρο της ιατρικής και η αναβάθμιση των </w:t>
      </w:r>
      <w:r w:rsidR="00423E33">
        <w:rPr>
          <w:sz w:val="24"/>
          <w:szCs w:val="24"/>
        </w:rPr>
        <w:t>συνθηκών διαβίωσης έχουν συμβάλ</w:t>
      </w:r>
      <w:r w:rsidRPr="00D63CB9">
        <w:rPr>
          <w:sz w:val="24"/>
          <w:szCs w:val="24"/>
        </w:rPr>
        <w:t>ει στην αύξηση του προσδόκιμου ζωής. Έτσι, το ποσοστό ατόμων της τρίτης ηλικίας έχει αυξηθεί σημαντικά-και θα συν</w:t>
      </w:r>
      <w:r w:rsidR="00423E33">
        <w:rPr>
          <w:sz w:val="24"/>
          <w:szCs w:val="24"/>
        </w:rPr>
        <w:t>εχίσει να αυξάνεται στο μέλλον.</w:t>
      </w:r>
    </w:p>
    <w:p w:rsidR="005C76A1" w:rsidRPr="00D63CB9" w:rsidRDefault="005C76A1" w:rsidP="005C76A1">
      <w:pPr>
        <w:ind w:left="-142" w:right="-199"/>
        <w:jc w:val="both"/>
        <w:rPr>
          <w:sz w:val="24"/>
          <w:szCs w:val="24"/>
        </w:rPr>
      </w:pPr>
      <w:r w:rsidRPr="00D63CB9">
        <w:rPr>
          <w:sz w:val="24"/>
          <w:szCs w:val="24"/>
        </w:rPr>
        <w:t xml:space="preserve">Ειδικότερα, ο παράγοντας της γήρανσης του πληθυσμού δημιουργεί ιδιαίτερη αύξηση της ζήτησης για </w:t>
      </w:r>
      <w:r w:rsidRPr="00D63CB9">
        <w:rPr>
          <w:rFonts w:asciiTheme="majorHAnsi" w:eastAsiaTheme="majorEastAsia" w:hAnsiTheme="majorHAnsi" w:cstheme="majorBidi"/>
          <w:b/>
          <w:color w:val="2F5496" w:themeColor="accent1" w:themeShade="BF"/>
          <w:sz w:val="24"/>
          <w:szCs w:val="24"/>
        </w:rPr>
        <w:t>την παροχή υπηρεσιών υγείας</w:t>
      </w:r>
      <w:r w:rsidRPr="00D63CB9">
        <w:rPr>
          <w:sz w:val="24"/>
          <w:szCs w:val="24"/>
        </w:rPr>
        <w:t xml:space="preserve"> με συνέπεια να επιβαρύνονται οικονομικά  τα  συστήματα κοινωνικής ασφάλισης και υγείας.  Ως αποτέλεσμα, τα τελευταία χρόνια στις ανεπτυγμένες χώρες γίνονται συνεχώς περικοπές από τα συστήματα δημόσιας κάλυψης της περίθαλψης, σε θεραπείες –υπηρεσίες που θεωρούνται ως μη απολύτως αναγκαίες (vanElketal., 2010).</w:t>
      </w:r>
    </w:p>
    <w:p w:rsidR="0035791E" w:rsidRPr="00D63CB9" w:rsidRDefault="005C76A1" w:rsidP="0035791E">
      <w:pPr>
        <w:ind w:left="-142" w:right="-199"/>
        <w:jc w:val="both"/>
        <w:rPr>
          <w:sz w:val="24"/>
          <w:szCs w:val="24"/>
        </w:rPr>
      </w:pPr>
      <w:r w:rsidRPr="00D63CB9">
        <w:rPr>
          <w:sz w:val="24"/>
          <w:szCs w:val="24"/>
        </w:rPr>
        <w:t xml:space="preserve">Οι περικοπές αυτές οδηγούν σε αύξηση του ποσοστού των δυνητικών ασθενών/πελατών που αναζητούν εναλλακτικές λύσεις σε άλλες χώρες. </w:t>
      </w:r>
    </w:p>
    <w:p w:rsidR="0035791E" w:rsidRPr="00D63CB9" w:rsidRDefault="0035791E">
      <w:pPr>
        <w:rPr>
          <w:sz w:val="24"/>
          <w:szCs w:val="24"/>
        </w:rPr>
      </w:pPr>
      <w:r w:rsidRPr="00D63CB9">
        <w:rPr>
          <w:sz w:val="24"/>
          <w:szCs w:val="24"/>
        </w:rPr>
        <w:br w:type="page"/>
      </w:r>
    </w:p>
    <w:p w:rsidR="0035791E" w:rsidRPr="00D63CB9" w:rsidRDefault="0035791E" w:rsidP="0035791E">
      <w:pPr>
        <w:ind w:left="-142" w:right="-199"/>
        <w:jc w:val="both"/>
        <w:rPr>
          <w:sz w:val="24"/>
          <w:szCs w:val="24"/>
        </w:rPr>
      </w:pPr>
    </w:p>
    <w:p w:rsidR="005C76A1" w:rsidRPr="00D63CB9" w:rsidRDefault="005C76A1" w:rsidP="005C76A1">
      <w:pPr>
        <w:keepNext/>
        <w:keepLines/>
        <w:spacing w:before="40" w:after="240"/>
        <w:ind w:left="-142" w:right="-199"/>
        <w:outlineLvl w:val="1"/>
        <w:rPr>
          <w:rFonts w:asciiTheme="majorHAnsi" w:eastAsiaTheme="majorEastAsia" w:hAnsiTheme="majorHAnsi" w:cstheme="majorBidi"/>
          <w:b/>
          <w:color w:val="2F5496" w:themeColor="accent1" w:themeShade="BF"/>
          <w:sz w:val="26"/>
          <w:szCs w:val="26"/>
        </w:rPr>
      </w:pPr>
      <w:r w:rsidRPr="00D63CB9">
        <w:rPr>
          <w:rFonts w:asciiTheme="majorHAnsi" w:eastAsiaTheme="majorEastAsia" w:hAnsiTheme="majorHAnsi" w:cstheme="majorBidi"/>
          <w:b/>
          <w:color w:val="2F5496" w:themeColor="accent1" w:themeShade="BF"/>
          <w:sz w:val="26"/>
          <w:szCs w:val="26"/>
        </w:rPr>
        <w:t>Τα ανταγωνιστικά πλεονεκτήματα της Ελλάδας</w:t>
      </w:r>
    </w:p>
    <w:p w:rsidR="005C76A1" w:rsidRPr="00D63CB9" w:rsidRDefault="005C76A1" w:rsidP="005C76A1">
      <w:pPr>
        <w:numPr>
          <w:ilvl w:val="0"/>
          <w:numId w:val="2"/>
        </w:numPr>
        <w:ind w:left="-142" w:right="-199"/>
        <w:contextualSpacing/>
        <w:jc w:val="both"/>
      </w:pPr>
      <w:r w:rsidRPr="00D63CB9">
        <w:rPr>
          <w:b/>
          <w:color w:val="4472C4" w:themeColor="accent1"/>
          <w:sz w:val="24"/>
          <w:szCs w:val="24"/>
        </w:rPr>
        <w:t>Δημοφιλής Τουριστικός Προορισμός</w:t>
      </w:r>
      <w:r w:rsidRPr="00D63CB9">
        <w:rPr>
          <w:b/>
          <w:color w:val="4472C4" w:themeColor="accent1"/>
        </w:rPr>
        <w:t>:</w:t>
      </w:r>
      <w:r w:rsidRPr="00D63CB9">
        <w:rPr>
          <w:sz w:val="24"/>
          <w:szCs w:val="24"/>
        </w:rPr>
        <w:t xml:space="preserve">η Ελλάδα προσελκύει ένα μεγάλο αριθμό τουριστών κάθε χρόνο και αποτελεί έναν παραδοσιακό τουριστικό προορισμό με παγκόσμια προβολή.  </w:t>
      </w:r>
    </w:p>
    <w:p w:rsidR="005C76A1" w:rsidRPr="00D63CB9" w:rsidRDefault="005C76A1" w:rsidP="005C76A1">
      <w:pPr>
        <w:numPr>
          <w:ilvl w:val="0"/>
          <w:numId w:val="2"/>
        </w:numPr>
        <w:ind w:left="-142" w:right="-199"/>
        <w:contextualSpacing/>
        <w:jc w:val="both"/>
        <w:rPr>
          <w:sz w:val="24"/>
          <w:szCs w:val="24"/>
        </w:rPr>
      </w:pPr>
      <w:r w:rsidRPr="00D63CB9">
        <w:rPr>
          <w:b/>
          <w:color w:val="4472C4" w:themeColor="accent1"/>
          <w:sz w:val="24"/>
          <w:szCs w:val="24"/>
        </w:rPr>
        <w:t>Γεωγραφική Θέση:</w:t>
      </w:r>
      <w:r w:rsidRPr="00D63CB9">
        <w:rPr>
          <w:sz w:val="24"/>
          <w:szCs w:val="24"/>
        </w:rPr>
        <w:t>η Ελλάδα, λόγω της γεωγραφικής της θέσης, μπορεί να στοχεύσει στην Ευρωπαϊκή αγορά αλλά και σε αυτές της Βόρειας Αφρικής καθώς και της Μέσης Ανατολής.</w:t>
      </w:r>
    </w:p>
    <w:p w:rsidR="005C76A1" w:rsidRPr="00D63CB9" w:rsidRDefault="005C76A1" w:rsidP="005C76A1">
      <w:pPr>
        <w:numPr>
          <w:ilvl w:val="0"/>
          <w:numId w:val="2"/>
        </w:numPr>
        <w:ind w:left="-142" w:right="-199"/>
        <w:contextualSpacing/>
        <w:jc w:val="both"/>
        <w:rPr>
          <w:sz w:val="24"/>
          <w:szCs w:val="24"/>
        </w:rPr>
      </w:pPr>
      <w:r w:rsidRPr="00D63CB9">
        <w:rPr>
          <w:b/>
          <w:color w:val="4472C4" w:themeColor="accent1"/>
          <w:sz w:val="24"/>
          <w:szCs w:val="24"/>
        </w:rPr>
        <w:t>Εξειδικευμένο Επιστημονικό Προσωπικό</w:t>
      </w:r>
      <w:r w:rsidRPr="00D63CB9">
        <w:rPr>
          <w:sz w:val="24"/>
          <w:szCs w:val="24"/>
        </w:rPr>
        <w:t xml:space="preserve">: Παρά τη μαζική έξοδο επιστημόνων τα τελευταία χρόνια, η Ελλάδα διαθέτει ένα πολύ υψηλό επίπεδο και αριθμό εξειδικευμένων επιστημόνων στο χώρο της υγείας. </w:t>
      </w:r>
    </w:p>
    <w:p w:rsidR="005C76A1" w:rsidRPr="00D63CB9" w:rsidRDefault="005C76A1" w:rsidP="005C76A1">
      <w:pPr>
        <w:numPr>
          <w:ilvl w:val="0"/>
          <w:numId w:val="2"/>
        </w:numPr>
        <w:ind w:left="-142" w:right="-199"/>
        <w:contextualSpacing/>
        <w:jc w:val="both"/>
        <w:rPr>
          <w:sz w:val="24"/>
          <w:szCs w:val="24"/>
        </w:rPr>
      </w:pPr>
      <w:r w:rsidRPr="00D63CB9">
        <w:rPr>
          <w:b/>
          <w:color w:val="4472C4" w:themeColor="accent1"/>
          <w:sz w:val="24"/>
          <w:szCs w:val="24"/>
        </w:rPr>
        <w:t>Επαρκείς Υποδομές:</w:t>
      </w:r>
      <w:r w:rsidRPr="00D63CB9">
        <w:rPr>
          <w:sz w:val="24"/>
          <w:szCs w:val="24"/>
        </w:rPr>
        <w:t>Οι αυξημένες επενδύσεις στο χώρο της υγείας και του τουρισμού την πρώτη δεκαετία του 21ου αιώνα έχουν δημιουργήσει ένα δίκτυο υποδομών που μπορεί να αξιοποιηθεί κατάλληλα ώστε να γίνει η Ελλάδα ένας βασικός παίκτης στο χώρο του τουρισμού υγείας παγκοσμίως.</w:t>
      </w:r>
    </w:p>
    <w:p w:rsidR="005C76A1" w:rsidRPr="00D63CB9" w:rsidRDefault="005C76A1" w:rsidP="005C76A1">
      <w:pPr>
        <w:numPr>
          <w:ilvl w:val="0"/>
          <w:numId w:val="2"/>
        </w:numPr>
        <w:ind w:left="-142" w:right="-199"/>
        <w:contextualSpacing/>
        <w:jc w:val="both"/>
        <w:rPr>
          <w:sz w:val="24"/>
          <w:szCs w:val="24"/>
        </w:rPr>
      </w:pPr>
      <w:r w:rsidRPr="00D63CB9">
        <w:rPr>
          <w:b/>
          <w:color w:val="4472C4" w:themeColor="accent1"/>
          <w:sz w:val="24"/>
          <w:szCs w:val="24"/>
        </w:rPr>
        <w:t>Μεγάλος αριθμός ιατρών σε χώρες του εξωτερικού</w:t>
      </w:r>
      <w:r w:rsidRPr="00D63CB9">
        <w:rPr>
          <w:sz w:val="24"/>
          <w:szCs w:val="24"/>
        </w:rPr>
        <w:t>: Ο μεγάλος αριθμός Ελλήνων ιατρών που εργάζονται στο εξωτερικό μπορεί να αποτελέσει σημαντικό εργαλείο στην ανάπτυξη του Ελληνικού τουρισμού υγείας.   Οι ιατροί που εργάζονται σε ξένες χώρες μπορούν να γίνουν οι καλύτεροι πρεσβευτές των υπηρεσιών υγείας στις χώρες καταγωγής τους.</w:t>
      </w:r>
    </w:p>
    <w:p w:rsidR="005C76A1" w:rsidRPr="00D63CB9" w:rsidRDefault="005C76A1" w:rsidP="005C76A1">
      <w:pPr>
        <w:keepNext/>
        <w:keepLines/>
        <w:spacing w:before="40" w:after="240"/>
        <w:ind w:left="-142" w:right="-199"/>
        <w:outlineLvl w:val="1"/>
        <w:rPr>
          <w:rFonts w:asciiTheme="majorHAnsi" w:eastAsiaTheme="majorEastAsia" w:hAnsiTheme="majorHAnsi" w:cstheme="majorBidi"/>
          <w:b/>
          <w:color w:val="2F5496" w:themeColor="accent1" w:themeShade="BF"/>
          <w:sz w:val="26"/>
          <w:szCs w:val="26"/>
        </w:rPr>
      </w:pPr>
      <w:r w:rsidRPr="00D63CB9">
        <w:rPr>
          <w:rFonts w:asciiTheme="majorHAnsi" w:eastAsiaTheme="majorEastAsia" w:hAnsiTheme="majorHAnsi" w:cstheme="majorBidi"/>
          <w:b/>
          <w:color w:val="2F5496" w:themeColor="accent1" w:themeShade="BF"/>
          <w:sz w:val="26"/>
          <w:szCs w:val="26"/>
        </w:rPr>
        <w:t>Προσδοκώμενα Οφέλη από τον Τουρισμό Υγείας</w:t>
      </w:r>
    </w:p>
    <w:p w:rsidR="005C76A1" w:rsidRPr="00D63CB9" w:rsidRDefault="005C76A1" w:rsidP="005C76A1">
      <w:pPr>
        <w:numPr>
          <w:ilvl w:val="0"/>
          <w:numId w:val="3"/>
        </w:numPr>
        <w:ind w:left="-142" w:right="-199"/>
        <w:contextualSpacing/>
        <w:jc w:val="both"/>
        <w:rPr>
          <w:sz w:val="24"/>
          <w:szCs w:val="24"/>
        </w:rPr>
      </w:pPr>
      <w:r w:rsidRPr="00D63CB9">
        <w:rPr>
          <w:sz w:val="24"/>
          <w:szCs w:val="24"/>
        </w:rPr>
        <w:t xml:space="preserve">Πηγή εσόδων για την οικονομία και τον  κλάδο υγείας: Ο τουρισμός υγείας μπορεί να αποτελέσει πηγή εσόδων για την Ελληνική οικονομία: περισσότεροι τουρίστες, επιμήκυνση της τουριστικής περιόδου, έσοδα για τα νοσοκομεία και τις κλινικές. </w:t>
      </w:r>
    </w:p>
    <w:p w:rsidR="005C76A1" w:rsidRPr="00D63CB9" w:rsidRDefault="005C76A1" w:rsidP="005C76A1">
      <w:pPr>
        <w:numPr>
          <w:ilvl w:val="0"/>
          <w:numId w:val="3"/>
        </w:numPr>
        <w:ind w:left="-142" w:right="-199"/>
        <w:contextualSpacing/>
        <w:jc w:val="both"/>
        <w:rPr>
          <w:sz w:val="24"/>
          <w:szCs w:val="24"/>
        </w:rPr>
      </w:pPr>
      <w:r w:rsidRPr="00D63CB9">
        <w:rPr>
          <w:sz w:val="24"/>
          <w:szCs w:val="24"/>
        </w:rPr>
        <w:t>Συγκράτηση της μετανάστευσης  αξιόλογων γιατρών, νοσηλευτών και θεραπευτών/αιτία επιστροφής τους στην Ελλάδα: η οικονομική κρίση οδήγησε χιλιάδες επιστήμονες από το  χώρο της Υγείας να φύγουν από την Ελλάδα και να αναζητήσουν εργασία σε χώρες του εξωτερικού. Η μεγάλη πλειοψηφία αυτών είναι από πολύ καλοί έως εξαιρετικοί επιστημονικά. Η χώρα λοιπόν βίωσε ένα brain</w:t>
      </w:r>
      <w:r w:rsidR="00423E33">
        <w:rPr>
          <w:sz w:val="24"/>
          <w:szCs w:val="24"/>
        </w:rPr>
        <w:t xml:space="preserve"> </w:t>
      </w:r>
      <w:r w:rsidRPr="00D63CB9">
        <w:rPr>
          <w:sz w:val="24"/>
          <w:szCs w:val="24"/>
        </w:rPr>
        <w:t xml:space="preserve">drain στο χώρο της υγείας το οποίο θα έχει μακρόχρονες αρνητικές συνέπειες για το επίπεδο παροχής υπηρεσιών υγείας. Όταν οι καλοί γιατροί φεύγουν, η ποιότητα περίθαλψης του ντόπιου πληθυσμού πέφτει σημαντικά </w:t>
      </w:r>
    </w:p>
    <w:p w:rsidR="005C76A1" w:rsidRPr="00D63CB9" w:rsidRDefault="005C76A1" w:rsidP="005C76A1">
      <w:pPr>
        <w:numPr>
          <w:ilvl w:val="0"/>
          <w:numId w:val="3"/>
        </w:numPr>
        <w:ind w:left="-142" w:right="-199"/>
        <w:contextualSpacing/>
        <w:jc w:val="both"/>
        <w:rPr>
          <w:sz w:val="24"/>
          <w:szCs w:val="24"/>
        </w:rPr>
      </w:pPr>
      <w:r w:rsidRPr="00D63CB9">
        <w:rPr>
          <w:sz w:val="24"/>
          <w:szCs w:val="24"/>
        </w:rPr>
        <w:t>Ευκαιρία για επενδύσεις στο χώρο της υγείας: η ανάπτυξη του τουρισμού υγείας θα προσελκύσει επενδύσεις τις οποίες ιδιαίτερα ο τομέας της Υγείας θα χρειαστεί μεσομακροπρόθεσμα ώστε να διατηρήσει ένα καλό επίπεδο υπηρεσιών  τόσο για τους πολίτες όσο και για τους επισκέπτες της χώρας.</w:t>
      </w:r>
    </w:p>
    <w:p w:rsidR="005C76A1" w:rsidRPr="00D63CB9" w:rsidRDefault="005C76A1" w:rsidP="005C76A1">
      <w:pPr>
        <w:pBdr>
          <w:bottom w:val="single" w:sz="6" w:space="1" w:color="auto"/>
        </w:pBdr>
        <w:jc w:val="both"/>
        <w:rPr>
          <w:sz w:val="24"/>
          <w:szCs w:val="24"/>
        </w:rPr>
      </w:pPr>
    </w:p>
    <w:p w:rsidR="00E0226B" w:rsidRPr="00495A86" w:rsidRDefault="00845654" w:rsidP="00495A86">
      <w:pPr>
        <w:jc w:val="right"/>
        <w:rPr>
          <w:sz w:val="24"/>
          <w:szCs w:val="24"/>
          <w:lang w:val="en-US"/>
        </w:rPr>
      </w:pPr>
      <w:r w:rsidRPr="00D63CB9">
        <w:rPr>
          <w:sz w:val="24"/>
          <w:szCs w:val="24"/>
        </w:rPr>
        <w:t>Συνεργασία Ε</w:t>
      </w:r>
      <w:r w:rsidRPr="00D63CB9">
        <w:rPr>
          <w:sz w:val="24"/>
          <w:szCs w:val="24"/>
          <w:lang w:val="en-US"/>
        </w:rPr>
        <w:t>nterprise Greece</w:t>
      </w:r>
      <w:r w:rsidR="00495A86" w:rsidRPr="00D63CB9">
        <w:rPr>
          <w:sz w:val="24"/>
          <w:szCs w:val="24"/>
        </w:rPr>
        <w:t>&amp;</w:t>
      </w:r>
      <w:r w:rsidRPr="00D63CB9">
        <w:rPr>
          <w:sz w:val="24"/>
          <w:szCs w:val="24"/>
        </w:rPr>
        <w:t>ΕΛΙΤΟΥΡ</w:t>
      </w:r>
    </w:p>
    <w:sectPr w:rsidR="00E0226B" w:rsidRPr="00495A86" w:rsidSect="00495A86">
      <w:headerReference w:type="default" r:id="rId7"/>
      <w:footerReference w:type="default" r:id="rId8"/>
      <w:pgSz w:w="11906" w:h="16838"/>
      <w:pgMar w:top="1440" w:right="1800" w:bottom="1440" w:left="180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F2E" w:rsidRDefault="00383F2E" w:rsidP="00495A86">
      <w:pPr>
        <w:spacing w:after="0" w:line="240" w:lineRule="auto"/>
      </w:pPr>
      <w:r>
        <w:separator/>
      </w:r>
    </w:p>
  </w:endnote>
  <w:endnote w:type="continuationSeparator" w:id="1">
    <w:p w:rsidR="00383F2E" w:rsidRDefault="00383F2E" w:rsidP="00495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A1" w:rsidRDefault="005C76A1">
    <w:pPr>
      <w:pStyle w:val="a6"/>
    </w:pPr>
    <w:r>
      <w:rPr>
        <w:noProof/>
        <w:lang w:eastAsia="el-GR"/>
      </w:rPr>
      <w:drawing>
        <wp:anchor distT="0" distB="0" distL="114300" distR="114300" simplePos="0" relativeHeight="251658240" behindDoc="1" locked="0" layoutInCell="1" allowOverlap="1">
          <wp:simplePos x="0" y="0"/>
          <wp:positionH relativeFrom="page">
            <wp:align>right</wp:align>
          </wp:positionH>
          <wp:positionV relativeFrom="paragraph">
            <wp:posOffset>-302895</wp:posOffset>
          </wp:positionV>
          <wp:extent cx="7611745" cy="187452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11745" cy="187452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F2E" w:rsidRDefault="00383F2E" w:rsidP="00495A86">
      <w:pPr>
        <w:spacing w:after="0" w:line="240" w:lineRule="auto"/>
      </w:pPr>
      <w:bookmarkStart w:id="0" w:name="_Hlk57039495"/>
      <w:bookmarkEnd w:id="0"/>
      <w:r>
        <w:separator/>
      </w:r>
    </w:p>
  </w:footnote>
  <w:footnote w:type="continuationSeparator" w:id="1">
    <w:p w:rsidR="00383F2E" w:rsidRDefault="00383F2E" w:rsidP="00495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EAB" w:rsidRDefault="006E2EAB" w:rsidP="006E2EAB">
    <w:pPr>
      <w:pStyle w:val="a5"/>
      <w:ind w:left="-1800"/>
      <w:rPr>
        <w:noProof/>
      </w:rPr>
    </w:pPr>
  </w:p>
  <w:p w:rsidR="006E2EAB" w:rsidRDefault="006E2EAB" w:rsidP="006E2EAB">
    <w:pPr>
      <w:pStyle w:val="a5"/>
      <w:ind w:left="-1800"/>
      <w:rPr>
        <w:noProof/>
      </w:rPr>
    </w:pPr>
    <w:r w:rsidRPr="006E2EAB">
      <w:rPr>
        <w:noProof/>
        <w:lang w:eastAsia="el-GR"/>
      </w:rPr>
      <w:drawing>
        <wp:inline distT="0" distB="0" distL="0" distR="0">
          <wp:extent cx="4785360" cy="107690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1040" cy="1082687"/>
                  </a:xfrm>
                  <a:prstGeom prst="rect">
                    <a:avLst/>
                  </a:prstGeom>
                  <a:noFill/>
                  <a:ln>
                    <a:noFill/>
                  </a:ln>
                </pic:spPr>
              </pic:pic>
            </a:graphicData>
          </a:graphic>
        </wp:inline>
      </w:drawing>
    </w:r>
  </w:p>
  <w:p w:rsidR="00495A86" w:rsidRDefault="00495A86" w:rsidP="006E2EAB">
    <w:pPr>
      <w:pStyle w:val="a5"/>
      <w:ind w:left="-1800"/>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567E"/>
    <w:multiLevelType w:val="hybridMultilevel"/>
    <w:tmpl w:val="BB982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FC5965"/>
    <w:multiLevelType w:val="hybridMultilevel"/>
    <w:tmpl w:val="6A2EC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ECA3B10"/>
    <w:multiLevelType w:val="hybridMultilevel"/>
    <w:tmpl w:val="03EE0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8705640"/>
    <w:multiLevelType w:val="hybridMultilevel"/>
    <w:tmpl w:val="6734B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0B1E63"/>
    <w:multiLevelType w:val="hybridMultilevel"/>
    <w:tmpl w:val="D2E639B6"/>
    <w:lvl w:ilvl="0" w:tplc="9B407C08">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5753388"/>
    <w:multiLevelType w:val="hybridMultilevel"/>
    <w:tmpl w:val="38A0C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A3119F"/>
    <w:multiLevelType w:val="hybridMultilevel"/>
    <w:tmpl w:val="A17EFD70"/>
    <w:lvl w:ilvl="0" w:tplc="04080001">
      <w:start w:val="1"/>
      <w:numFmt w:val="bullet"/>
      <w:lvlText w:val=""/>
      <w:lvlJc w:val="left"/>
      <w:pPr>
        <w:ind w:left="720" w:hanging="360"/>
      </w:pPr>
      <w:rPr>
        <w:rFonts w:ascii="Symbol" w:hAnsi="Symbol" w:hint="default"/>
      </w:rPr>
    </w:lvl>
    <w:lvl w:ilvl="1" w:tplc="53741336">
      <w:numFmt w:val="bullet"/>
      <w:lvlText w:val="•"/>
      <w:lvlJc w:val="left"/>
      <w:pPr>
        <w:ind w:left="1800" w:hanging="72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E0226B"/>
    <w:rsid w:val="001127CB"/>
    <w:rsid w:val="0028422B"/>
    <w:rsid w:val="0035791E"/>
    <w:rsid w:val="00383F2E"/>
    <w:rsid w:val="00423E33"/>
    <w:rsid w:val="00495A86"/>
    <w:rsid w:val="005B195D"/>
    <w:rsid w:val="005C76A1"/>
    <w:rsid w:val="006E2EAB"/>
    <w:rsid w:val="0083175C"/>
    <w:rsid w:val="00845654"/>
    <w:rsid w:val="00984730"/>
    <w:rsid w:val="009F2401"/>
    <w:rsid w:val="00A03544"/>
    <w:rsid w:val="00AC6608"/>
    <w:rsid w:val="00B2768A"/>
    <w:rsid w:val="00C97920"/>
    <w:rsid w:val="00CC5811"/>
    <w:rsid w:val="00D63CB9"/>
    <w:rsid w:val="00DC558B"/>
    <w:rsid w:val="00E0226B"/>
    <w:rsid w:val="00F566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5D"/>
  </w:style>
  <w:style w:type="paragraph" w:styleId="1">
    <w:name w:val="heading 1"/>
    <w:basedOn w:val="a"/>
    <w:next w:val="a"/>
    <w:link w:val="1Char"/>
    <w:uiPriority w:val="9"/>
    <w:qFormat/>
    <w:rsid w:val="00495A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495A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8422B"/>
  </w:style>
  <w:style w:type="paragraph" w:styleId="a4">
    <w:name w:val="List Paragraph"/>
    <w:basedOn w:val="a"/>
    <w:uiPriority w:val="34"/>
    <w:qFormat/>
    <w:rsid w:val="00CC5811"/>
    <w:pPr>
      <w:ind w:left="720"/>
      <w:contextualSpacing/>
    </w:pPr>
  </w:style>
  <w:style w:type="paragraph" w:styleId="a5">
    <w:name w:val="header"/>
    <w:basedOn w:val="a"/>
    <w:link w:val="Char"/>
    <w:uiPriority w:val="99"/>
    <w:unhideWhenUsed/>
    <w:rsid w:val="00495A86"/>
    <w:pPr>
      <w:tabs>
        <w:tab w:val="center" w:pos="4153"/>
        <w:tab w:val="right" w:pos="8306"/>
      </w:tabs>
      <w:spacing w:after="0" w:line="240" w:lineRule="auto"/>
    </w:pPr>
  </w:style>
  <w:style w:type="character" w:customStyle="1" w:styleId="Char">
    <w:name w:val="Κεφαλίδα Char"/>
    <w:basedOn w:val="a0"/>
    <w:link w:val="a5"/>
    <w:uiPriority w:val="99"/>
    <w:rsid w:val="00495A86"/>
  </w:style>
  <w:style w:type="paragraph" w:styleId="a6">
    <w:name w:val="footer"/>
    <w:basedOn w:val="a"/>
    <w:link w:val="Char0"/>
    <w:uiPriority w:val="99"/>
    <w:unhideWhenUsed/>
    <w:rsid w:val="00495A86"/>
    <w:pPr>
      <w:tabs>
        <w:tab w:val="center" w:pos="4153"/>
        <w:tab w:val="right" w:pos="8306"/>
      </w:tabs>
      <w:spacing w:after="0" w:line="240" w:lineRule="auto"/>
    </w:pPr>
  </w:style>
  <w:style w:type="character" w:customStyle="1" w:styleId="Char0">
    <w:name w:val="Υποσέλιδο Char"/>
    <w:basedOn w:val="a0"/>
    <w:link w:val="a6"/>
    <w:uiPriority w:val="99"/>
    <w:rsid w:val="00495A86"/>
  </w:style>
  <w:style w:type="paragraph" w:styleId="a7">
    <w:name w:val="Title"/>
    <w:basedOn w:val="a"/>
    <w:next w:val="a"/>
    <w:link w:val="Char1"/>
    <w:uiPriority w:val="10"/>
    <w:qFormat/>
    <w:rsid w:val="00495A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7"/>
    <w:uiPriority w:val="10"/>
    <w:rsid w:val="00495A8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495A86"/>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495A86"/>
    <w:rPr>
      <w:rFonts w:asciiTheme="majorHAnsi" w:eastAsiaTheme="majorEastAsia" w:hAnsiTheme="majorHAnsi" w:cstheme="majorBidi"/>
      <w:color w:val="2F5496" w:themeColor="accent1" w:themeShade="BF"/>
      <w:sz w:val="26"/>
      <w:szCs w:val="26"/>
    </w:rPr>
  </w:style>
  <w:style w:type="paragraph" w:styleId="a8">
    <w:name w:val="Balloon Text"/>
    <w:basedOn w:val="a"/>
    <w:link w:val="Char2"/>
    <w:uiPriority w:val="99"/>
    <w:semiHidden/>
    <w:unhideWhenUsed/>
    <w:rsid w:val="00C9792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C9792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3316</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ceoenterprisegreece@outlook.com.gr</dc:creator>
  <cp:lastModifiedBy>User</cp:lastModifiedBy>
  <cp:revision>2</cp:revision>
  <dcterms:created xsi:type="dcterms:W3CDTF">2021-02-01T13:09:00Z</dcterms:created>
  <dcterms:modified xsi:type="dcterms:W3CDTF">2021-02-01T13:09:00Z</dcterms:modified>
</cp:coreProperties>
</file>